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B8" w:rsidRDefault="00646F2C">
      <w:pPr>
        <w:pStyle w:val="KonuBal"/>
        <w:rPr>
          <w:rFonts w:ascii="Times New Roman" w:hAnsi="Times New Roman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hAnsi="Times New Roman"/>
          <w:sz w:val="22"/>
          <w:szCs w:val="22"/>
        </w:rPr>
        <w:t>TIP FAKÜLTESİ</w:t>
      </w:r>
    </w:p>
    <w:p w:rsidR="007937B8" w:rsidRDefault="007937B8">
      <w:pPr>
        <w:pStyle w:val="KonuBal"/>
        <w:rPr>
          <w:rFonts w:ascii="Times New Roman" w:hAnsi="Times New Roman"/>
          <w:sz w:val="22"/>
          <w:szCs w:val="22"/>
        </w:rPr>
      </w:pPr>
    </w:p>
    <w:p w:rsidR="007937B8" w:rsidRDefault="00646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 PROGRAMI</w:t>
      </w:r>
    </w:p>
    <w:p w:rsidR="007937B8" w:rsidRDefault="007937B8">
      <w:pPr>
        <w:jc w:val="center"/>
        <w:rPr>
          <w:b/>
          <w:sz w:val="22"/>
          <w:szCs w:val="22"/>
        </w:rPr>
      </w:pPr>
    </w:p>
    <w:p w:rsidR="007937B8" w:rsidRDefault="007937B8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2761"/>
        <w:gridCol w:w="2773"/>
        <w:gridCol w:w="1974"/>
      </w:tblGrid>
      <w:tr w:rsidR="007937B8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Dersin Adı: ÜROLOJİ 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Dersin Kodu: TIP 592</w:t>
            </w:r>
          </w:p>
        </w:tc>
      </w:tr>
      <w:tr w:rsidR="007937B8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AKTS: 3</w:t>
            </w:r>
          </w:p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KREDİ: 24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5.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Zorunlu</w:t>
            </w:r>
          </w:p>
        </w:tc>
      </w:tr>
      <w:tr w:rsidR="007937B8">
        <w:trPr>
          <w:trHeight w:val="21"/>
        </w:trPr>
        <w:tc>
          <w:tcPr>
            <w:tcW w:w="1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37B8" w:rsidRDefault="00A770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Teorik+Uygulama</w:t>
            </w:r>
            <w:proofErr w:type="spellEnd"/>
            <w:r>
              <w:rPr>
                <w:sz w:val="22"/>
                <w:szCs w:val="22"/>
              </w:rPr>
              <w:t xml:space="preserve"> saat/hafta</w:t>
            </w:r>
            <w:r w:rsidRPr="009B1910">
              <w:rPr>
                <w:sz w:val="22"/>
                <w:szCs w:val="22"/>
              </w:rPr>
              <w:t>: 23+19</w:t>
            </w:r>
            <w:r w:rsidR="00646F2C" w:rsidRPr="009B1910">
              <w:rPr>
                <w:sz w:val="22"/>
                <w:szCs w:val="22"/>
              </w:rPr>
              <w:t xml:space="preserve"> </w:t>
            </w:r>
            <w:r w:rsidR="00646F2C">
              <w:rPr>
                <w:sz w:val="22"/>
                <w:szCs w:val="22"/>
              </w:rPr>
              <w:t xml:space="preserve">saat/2 hafta </w:t>
            </w:r>
          </w:p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7937B8">
        <w:trPr>
          <w:trHeight w:val="203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770E2" w:rsidRPr="009B1910" w:rsidRDefault="00A770E2" w:rsidP="00A770E2">
            <w:pPr>
              <w:ind w:left="180" w:right="252"/>
              <w:jc w:val="center"/>
              <w:rPr>
                <w:b/>
              </w:rPr>
            </w:pPr>
            <w:r w:rsidRPr="009B1910">
              <w:rPr>
                <w:b/>
              </w:rPr>
              <w:t>Klinik Ders Koordinatörü</w:t>
            </w:r>
          </w:p>
          <w:p w:rsidR="007937B8" w:rsidRPr="009B1910" w:rsidRDefault="00A7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sz w:val="22"/>
                <w:szCs w:val="22"/>
              </w:rPr>
            </w:pPr>
            <w:r w:rsidRPr="009B1910">
              <w:rPr>
                <w:rFonts w:eastAsia="Times New Roman"/>
                <w:b/>
                <w:sz w:val="22"/>
                <w:szCs w:val="22"/>
              </w:rPr>
              <w:t xml:space="preserve">                                                               Doç. Dr. Caner BARAN</w:t>
            </w:r>
          </w:p>
          <w:p w:rsidR="00A770E2" w:rsidRPr="009B1910" w:rsidRDefault="00A77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sz w:val="22"/>
                <w:szCs w:val="22"/>
              </w:rPr>
            </w:pPr>
          </w:p>
          <w:p w:rsidR="007937B8" w:rsidRPr="009B1910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B1910">
              <w:rPr>
                <w:rFonts w:eastAsia="Times New Roman"/>
                <w:b/>
                <w:sz w:val="22"/>
                <w:szCs w:val="22"/>
              </w:rPr>
              <w:t>Dersi Ver</w:t>
            </w:r>
            <w:r w:rsidR="007E708D" w:rsidRPr="009B1910">
              <w:rPr>
                <w:rFonts w:eastAsia="Times New Roman"/>
                <w:b/>
                <w:sz w:val="22"/>
                <w:szCs w:val="22"/>
              </w:rPr>
              <w:t>en Öğretim Elemanları</w:t>
            </w:r>
          </w:p>
          <w:p w:rsidR="007937B8" w:rsidRPr="009B1910" w:rsidRDefault="0079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7937B8" w:rsidRPr="009B1910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9B1910">
              <w:rPr>
                <w:b/>
                <w:sz w:val="22"/>
                <w:szCs w:val="22"/>
              </w:rPr>
              <w:t>Prof. Dr. Murat TUNCER</w:t>
            </w:r>
          </w:p>
          <w:p w:rsidR="007E708D" w:rsidRDefault="007E708D" w:rsidP="007E7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Doç. Dr. Caner BARAN</w:t>
            </w:r>
          </w:p>
          <w:p w:rsidR="007E708D" w:rsidRDefault="007E7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7937B8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Pr="009B1910" w:rsidRDefault="00646F2C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 w:rsidRPr="009B1910">
              <w:rPr>
                <w:b/>
                <w:sz w:val="22"/>
                <w:szCs w:val="22"/>
                <w:u w:val="single"/>
              </w:rPr>
              <w:t>Elektronik Posta Adresi</w:t>
            </w:r>
          </w:p>
          <w:p w:rsidR="007937B8" w:rsidRDefault="007937B8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7937B8" w:rsidRDefault="00870F0C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A770E2" w:rsidRPr="00AB4EF2">
                <w:rPr>
                  <w:rStyle w:val="Kpr"/>
                  <w:sz w:val="22"/>
                  <w:szCs w:val="22"/>
                </w:rPr>
                <w:t>caner.baran@yeniyuzyil.edu.tr</w:t>
              </w:r>
            </w:hyperlink>
          </w:p>
          <w:p w:rsidR="007937B8" w:rsidRDefault="007937B8">
            <w:pPr>
              <w:rPr>
                <w:b/>
                <w:sz w:val="22"/>
                <w:szCs w:val="22"/>
              </w:rPr>
            </w:pPr>
          </w:p>
        </w:tc>
      </w:tr>
      <w:tr w:rsidR="007937B8">
        <w:trPr>
          <w:trHeight w:val="2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937B8" w:rsidRDefault="00646F2C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Görüşme Saatleri: Her gün 15.00-17.00</w:t>
            </w:r>
          </w:p>
          <w:p w:rsidR="007937B8" w:rsidRDefault="00793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7937B8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7B8" w:rsidRDefault="007937B8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7937B8" w:rsidRDefault="00646F2C">
      <w:pPr>
        <w:spacing w:before="280" w:after="2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Dersin Genel Amacı</w:t>
      </w:r>
      <w:r>
        <w:rPr>
          <w:sz w:val="22"/>
          <w:szCs w:val="22"/>
        </w:rPr>
        <w:t xml:space="preserve">: Dersin genel amacı üroloji ile ilişkili hastalıklara dair biyolojik, klinik ve cerrahi esasları öğretmektir. Bu staj süresince öğrencilere </w:t>
      </w:r>
      <w:proofErr w:type="spellStart"/>
      <w:r>
        <w:rPr>
          <w:sz w:val="22"/>
          <w:szCs w:val="22"/>
        </w:rPr>
        <w:t>ürogenital</w:t>
      </w:r>
      <w:proofErr w:type="spellEnd"/>
      <w:r>
        <w:rPr>
          <w:sz w:val="22"/>
          <w:szCs w:val="22"/>
        </w:rPr>
        <w:t xml:space="preserve"> sistemin fizyolojik ve anatomik özellikleri anlatılacak ve bu sisteme ait hastalıklara genel hatları ile değinilip ürolojik yaklaşım ile ilgili temel bilgiler kazandırılacaktır. </w:t>
      </w:r>
    </w:p>
    <w:p w:rsidR="007937B8" w:rsidRDefault="00646F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7937B8" w:rsidRDefault="007937B8">
      <w:pPr>
        <w:jc w:val="both"/>
        <w:rPr>
          <w:b/>
          <w:sz w:val="22"/>
          <w:szCs w:val="22"/>
        </w:rPr>
      </w:pPr>
    </w:p>
    <w:p w:rsidR="007937B8" w:rsidRDefault="00646F2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Bu dersi başarıyla tamamlayan öğrencilerimiz</w:t>
      </w:r>
      <w:r>
        <w:rPr>
          <w:b/>
          <w:sz w:val="22"/>
          <w:szCs w:val="22"/>
        </w:rPr>
        <w:t xml:space="preserve">, </w:t>
      </w:r>
    </w:p>
    <w:p w:rsidR="007937B8" w:rsidRDefault="00646F2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Ürolojik hastalıkların etiyolojisini, klinik belirti ve bulgularını bilir. Ön tanı koyabilir ve istenmesi gereken tetkikleri ve tetkik sonuçlarını nasıl yorumlaması gerektiğini öğrenir.  Cerrahi </w:t>
      </w:r>
      <w:proofErr w:type="spellStart"/>
      <w:r>
        <w:rPr>
          <w:sz w:val="22"/>
          <w:szCs w:val="22"/>
        </w:rPr>
        <w:t>endikasyonları</w:t>
      </w:r>
      <w:proofErr w:type="spellEnd"/>
      <w:r>
        <w:rPr>
          <w:sz w:val="22"/>
          <w:szCs w:val="22"/>
        </w:rPr>
        <w:t xml:space="preserve"> bilir. Cerrahi işlemlerin isimlerini ve olası </w:t>
      </w:r>
      <w:proofErr w:type="gramStart"/>
      <w:r>
        <w:rPr>
          <w:sz w:val="22"/>
          <w:szCs w:val="22"/>
        </w:rPr>
        <w:t>komplikasyonları</w:t>
      </w:r>
      <w:proofErr w:type="gramEnd"/>
      <w:r>
        <w:rPr>
          <w:sz w:val="22"/>
          <w:szCs w:val="22"/>
        </w:rPr>
        <w:t xml:space="preserve"> tanır. </w:t>
      </w:r>
    </w:p>
    <w:p w:rsidR="007937B8" w:rsidRDefault="00646F2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Ürolojiyi ilgilendiren acil durumlarda hastaya nasıl yaklaşması gerektiğini öğrenir ve acil müdahale sırasında ne yapması gerektiğini bilir. </w:t>
      </w:r>
    </w:p>
    <w:p w:rsidR="007937B8" w:rsidRDefault="00646F2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Pratisyen hekimliği döneminde hangi Ürolojik vakaların ileri merkeze yönlendirileceğini </w:t>
      </w:r>
      <w:proofErr w:type="gramStart"/>
      <w:r>
        <w:rPr>
          <w:sz w:val="22"/>
          <w:szCs w:val="22"/>
        </w:rPr>
        <w:t>bilir  .</w:t>
      </w:r>
      <w:proofErr w:type="gramEnd"/>
      <w:r>
        <w:rPr>
          <w:sz w:val="22"/>
          <w:szCs w:val="22"/>
        </w:rPr>
        <w:t xml:space="preserve"> </w:t>
      </w:r>
    </w:p>
    <w:p w:rsidR="007937B8" w:rsidRDefault="00646F2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Hastaya idrar sondası takma/çıkarma, pansuman yapma, basit dikiş atma becerilerini edinir. </w:t>
      </w:r>
    </w:p>
    <w:p w:rsidR="007937B8" w:rsidRDefault="007937B8">
      <w:pPr>
        <w:ind w:left="720"/>
        <w:rPr>
          <w:sz w:val="22"/>
          <w:szCs w:val="22"/>
        </w:rPr>
      </w:pPr>
    </w:p>
    <w:p w:rsidR="007937B8" w:rsidRDefault="00646F2C">
      <w:pPr>
        <w:rPr>
          <w:sz w:val="22"/>
          <w:szCs w:val="22"/>
        </w:rPr>
      </w:pPr>
      <w:r>
        <w:rPr>
          <w:b/>
          <w:sz w:val="22"/>
          <w:szCs w:val="22"/>
        </w:rPr>
        <w:t>Dersin kısa tanımı: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Ürogenital</w:t>
      </w:r>
      <w:proofErr w:type="spellEnd"/>
      <w:r>
        <w:rPr>
          <w:sz w:val="22"/>
          <w:szCs w:val="22"/>
        </w:rPr>
        <w:t xml:space="preserve"> sistemin cerrahi hastalıklarını ve tedavilerini öğretmek.</w:t>
      </w:r>
    </w:p>
    <w:p w:rsidR="007937B8" w:rsidRDefault="007937B8">
      <w:pPr>
        <w:jc w:val="both"/>
        <w:rPr>
          <w:b/>
          <w:sz w:val="22"/>
          <w:szCs w:val="22"/>
        </w:rPr>
      </w:pPr>
    </w:p>
    <w:p w:rsidR="007937B8" w:rsidRDefault="00646F2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Öğretim Yöntem ve Teknikleri: </w:t>
      </w:r>
      <w:r>
        <w:rPr>
          <w:sz w:val="22"/>
          <w:szCs w:val="22"/>
        </w:rPr>
        <w:t xml:space="preserve">Dersler öğretim üyesi tarafından anlatılır, ancak sınıf içi tartışma ve öğrencinin derse aktif katılımı sağlanır. Derslerin bir kısmı hasta başı klinik uygulamalardır, burada </w:t>
      </w:r>
      <w:r>
        <w:rPr>
          <w:sz w:val="22"/>
          <w:szCs w:val="22"/>
        </w:rPr>
        <w:lastRenderedPageBreak/>
        <w:t xml:space="preserve">derste öğrenilen teorik bilginin poliklinik ve klinikte hasta üzerinde öğretim üyeleri ve öğretim görevlileri gözetiminde pratiğe dönüştürülmesi gerçekleştirilir. </w:t>
      </w:r>
    </w:p>
    <w:p w:rsidR="007937B8" w:rsidRDefault="007937B8">
      <w:pPr>
        <w:jc w:val="both"/>
        <w:rPr>
          <w:sz w:val="22"/>
          <w:szCs w:val="22"/>
        </w:rPr>
      </w:pPr>
    </w:p>
    <w:p w:rsidR="007937B8" w:rsidRDefault="00646F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Önkoşul: </w:t>
      </w:r>
      <w:r>
        <w:rPr>
          <w:sz w:val="22"/>
          <w:szCs w:val="22"/>
        </w:rPr>
        <w:t>YOK</w:t>
      </w:r>
    </w:p>
    <w:p w:rsidR="007937B8" w:rsidRDefault="007937B8">
      <w:pPr>
        <w:jc w:val="both"/>
        <w:rPr>
          <w:sz w:val="22"/>
          <w:szCs w:val="22"/>
        </w:rPr>
      </w:pPr>
    </w:p>
    <w:p w:rsidR="007937B8" w:rsidRDefault="00646F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7937B8" w:rsidRDefault="007937B8">
      <w:pPr>
        <w:rPr>
          <w:b/>
          <w:sz w:val="22"/>
          <w:szCs w:val="22"/>
        </w:rPr>
      </w:pPr>
    </w:p>
    <w:p w:rsidR="007937B8" w:rsidRDefault="00646F2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Campbell-Walsh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Urology</w:t>
      </w:r>
      <w:proofErr w:type="spellEnd"/>
      <w:r>
        <w:rPr>
          <w:sz w:val="22"/>
          <w:szCs w:val="22"/>
        </w:rPr>
        <w:t xml:space="preserve"> (10. Baskı-Türkçe)</w:t>
      </w:r>
    </w:p>
    <w:p w:rsidR="007937B8" w:rsidRDefault="00646F2C">
      <w:pPr>
        <w:rPr>
          <w:sz w:val="22"/>
          <w:szCs w:val="22"/>
        </w:rPr>
      </w:pPr>
      <w:r>
        <w:rPr>
          <w:sz w:val="22"/>
          <w:szCs w:val="22"/>
        </w:rPr>
        <w:t>Temel Üroloji  (4. Baskı)</w:t>
      </w:r>
    </w:p>
    <w:p w:rsidR="007937B8" w:rsidRDefault="00646F2C">
      <w:pPr>
        <w:pStyle w:val="Balk1"/>
        <w:shd w:val="clear" w:color="auto" w:fill="FFFFFF"/>
        <w:ind w:firstLine="54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Güncel Üroloji (TÜD Yayınları)</w:t>
      </w:r>
    </w:p>
    <w:p w:rsidR="007937B8" w:rsidRDefault="007937B8">
      <w:pPr>
        <w:jc w:val="both"/>
        <w:rPr>
          <w:b/>
          <w:sz w:val="22"/>
          <w:szCs w:val="22"/>
        </w:rPr>
      </w:pPr>
    </w:p>
    <w:p w:rsidR="007937B8" w:rsidRDefault="00646F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Dersin İçeriği:</w:t>
      </w:r>
    </w:p>
    <w:p w:rsidR="007937B8" w:rsidRDefault="007937B8">
      <w:pPr>
        <w:rPr>
          <w:b/>
          <w:sz w:val="22"/>
          <w:szCs w:val="22"/>
        </w:rPr>
      </w:pPr>
    </w:p>
    <w:p w:rsidR="007937B8" w:rsidRDefault="00646F2C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p w:rsidR="007937B8" w:rsidRDefault="007937B8">
      <w:pPr>
        <w:rPr>
          <w:b/>
          <w:sz w:val="22"/>
          <w:szCs w:val="22"/>
        </w:rPr>
      </w:pPr>
    </w:p>
    <w:p w:rsidR="007937B8" w:rsidRDefault="00646F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a0"/>
        <w:tblpPr w:leftFromText="141" w:rightFromText="141" w:vertAnchor="text" w:tblpY="123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7937B8">
        <w:tc>
          <w:tcPr>
            <w:tcW w:w="817" w:type="dxa"/>
            <w:shd w:val="clear" w:color="auto" w:fill="auto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Konular (not: Ders programındaki haftalara göre ders akış listesi)</w:t>
            </w:r>
          </w:p>
        </w:tc>
      </w:tr>
      <w:tr w:rsidR="007937B8">
        <w:tc>
          <w:tcPr>
            <w:tcW w:w="817" w:type="dxa"/>
            <w:shd w:val="clear" w:color="auto" w:fill="auto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Ürolojik </w:t>
            </w:r>
            <w:proofErr w:type="gramStart"/>
            <w:r>
              <w:rPr>
                <w:sz w:val="22"/>
                <w:szCs w:val="22"/>
              </w:rPr>
              <w:t>semptomlar</w:t>
            </w:r>
            <w:proofErr w:type="gramEnd"/>
            <w:r>
              <w:rPr>
                <w:sz w:val="22"/>
                <w:szCs w:val="22"/>
              </w:rPr>
              <w:t xml:space="preserve"> ve Fizik muayene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Üriner</w:t>
            </w:r>
            <w:proofErr w:type="spellEnd"/>
            <w:r>
              <w:rPr>
                <w:sz w:val="22"/>
                <w:szCs w:val="22"/>
              </w:rPr>
              <w:t xml:space="preserve"> sistem </w:t>
            </w:r>
            <w:proofErr w:type="gramStart"/>
            <w:r>
              <w:rPr>
                <w:sz w:val="22"/>
                <w:szCs w:val="22"/>
              </w:rPr>
              <w:t>enfeksiyonları</w:t>
            </w:r>
            <w:proofErr w:type="gram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Cinsel yolla bulaşan hastalıklar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Prostatitler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Genitoüriner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travmalar</w:t>
            </w:r>
            <w:proofErr w:type="gram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Benign</w:t>
            </w:r>
            <w:proofErr w:type="spellEnd"/>
            <w:r>
              <w:rPr>
                <w:sz w:val="22"/>
                <w:szCs w:val="22"/>
              </w:rPr>
              <w:t xml:space="preserve"> prostat </w:t>
            </w:r>
            <w:proofErr w:type="spellStart"/>
            <w:r>
              <w:rPr>
                <w:sz w:val="22"/>
                <w:szCs w:val="22"/>
              </w:rPr>
              <w:t>hipertrofisi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Mesane kanseri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Prostat kanseri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Böbrek kanseri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Testis kanseri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Fimozis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Parafimozis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Hipospadias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İnmemiş testis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Vezikoüreteral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reflü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Obstruktif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üropati</w:t>
            </w:r>
            <w:proofErr w:type="spellEnd"/>
            <w:r>
              <w:rPr>
                <w:sz w:val="22"/>
                <w:szCs w:val="22"/>
              </w:rPr>
              <w:t xml:space="preserve"> ve </w:t>
            </w:r>
            <w:proofErr w:type="spellStart"/>
            <w:r>
              <w:rPr>
                <w:sz w:val="22"/>
                <w:szCs w:val="22"/>
              </w:rPr>
              <w:t>Üreteropelvik</w:t>
            </w:r>
            <w:proofErr w:type="spellEnd"/>
            <w:r>
              <w:rPr>
                <w:sz w:val="22"/>
                <w:szCs w:val="22"/>
              </w:rPr>
              <w:t xml:space="preserve"> bileşke darlığı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Üst </w:t>
            </w:r>
            <w:proofErr w:type="spellStart"/>
            <w:r>
              <w:rPr>
                <w:sz w:val="22"/>
                <w:szCs w:val="22"/>
              </w:rPr>
              <w:t>üriner</w:t>
            </w:r>
            <w:proofErr w:type="spellEnd"/>
            <w:r>
              <w:rPr>
                <w:sz w:val="22"/>
                <w:szCs w:val="22"/>
              </w:rPr>
              <w:t xml:space="preserve"> sistem </w:t>
            </w:r>
            <w:proofErr w:type="gramStart"/>
            <w:r>
              <w:rPr>
                <w:sz w:val="22"/>
                <w:szCs w:val="22"/>
              </w:rPr>
              <w:t>anomalileri</w:t>
            </w:r>
            <w:proofErr w:type="gramEnd"/>
            <w:r>
              <w:rPr>
                <w:sz w:val="22"/>
                <w:szCs w:val="22"/>
              </w:rPr>
              <w:t xml:space="preserve"> ve Böbreğin </w:t>
            </w:r>
            <w:proofErr w:type="spellStart"/>
            <w:r>
              <w:rPr>
                <w:sz w:val="22"/>
                <w:szCs w:val="22"/>
              </w:rPr>
              <w:t>kistik</w:t>
            </w:r>
            <w:proofErr w:type="spellEnd"/>
            <w:r>
              <w:rPr>
                <w:sz w:val="22"/>
                <w:szCs w:val="22"/>
              </w:rPr>
              <w:t xml:space="preserve"> hastalıkları</w:t>
            </w:r>
          </w:p>
        </w:tc>
      </w:tr>
      <w:tr w:rsidR="007937B8">
        <w:tc>
          <w:tcPr>
            <w:tcW w:w="817" w:type="dxa"/>
            <w:shd w:val="clear" w:color="auto" w:fill="auto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Testis </w:t>
            </w:r>
            <w:proofErr w:type="spellStart"/>
            <w:r>
              <w:rPr>
                <w:sz w:val="22"/>
                <w:szCs w:val="22"/>
              </w:rPr>
              <w:t>torsiyonu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Hidrosel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Enürezis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nokturna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Erkek üreme anatomisi ve fizyolojisi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İnfertil</w:t>
            </w:r>
            <w:proofErr w:type="spellEnd"/>
            <w:r>
              <w:rPr>
                <w:sz w:val="22"/>
                <w:szCs w:val="22"/>
              </w:rPr>
              <w:t xml:space="preserve"> erkeğin değerlendirilmesi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İnfertilite</w:t>
            </w:r>
            <w:proofErr w:type="spellEnd"/>
            <w:r>
              <w:rPr>
                <w:sz w:val="22"/>
                <w:szCs w:val="22"/>
              </w:rPr>
              <w:t xml:space="preserve"> tedavisi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Varikosel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Penis anatomisi ve </w:t>
            </w:r>
            <w:proofErr w:type="spellStart"/>
            <w:r>
              <w:rPr>
                <w:sz w:val="22"/>
                <w:szCs w:val="22"/>
              </w:rPr>
              <w:t>Ereksiyon</w:t>
            </w:r>
            <w:proofErr w:type="spellEnd"/>
            <w:r>
              <w:rPr>
                <w:sz w:val="22"/>
                <w:szCs w:val="22"/>
              </w:rPr>
              <w:t xml:space="preserve"> fizyolojisi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Erektil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disfonksiyon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İmpotans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Üriner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inkontinans</w:t>
            </w:r>
            <w:proofErr w:type="spellEnd"/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937B8" w:rsidRDefault="00646F2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Üriner</w:t>
            </w:r>
            <w:proofErr w:type="spellEnd"/>
            <w:r>
              <w:rPr>
                <w:sz w:val="22"/>
                <w:szCs w:val="22"/>
              </w:rPr>
              <w:t xml:space="preserve"> sistem taş hastalığı</w:t>
            </w:r>
          </w:p>
          <w:p w:rsidR="007937B8" w:rsidRDefault="007937B8">
            <w:pPr>
              <w:rPr>
                <w:sz w:val="22"/>
                <w:szCs w:val="22"/>
              </w:rPr>
            </w:pPr>
          </w:p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SINAV</w:t>
            </w:r>
          </w:p>
        </w:tc>
      </w:tr>
    </w:tbl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646F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7937B8" w:rsidRDefault="00646F2C">
      <w:pPr>
        <w:rPr>
          <w:b/>
          <w:sz w:val="22"/>
          <w:szCs w:val="22"/>
        </w:rPr>
      </w:pPr>
      <w:r>
        <w:rPr>
          <w:b/>
          <w:sz w:val="22"/>
          <w:szCs w:val="22"/>
        </w:rPr>
        <w:t>(Dersi program çıktıları ile ilişkisi işaretlenecek 11 maddede değişiklik yapılmayacak)</w:t>
      </w:r>
    </w:p>
    <w:p w:rsidR="007937B8" w:rsidRDefault="007937B8">
      <w:pPr>
        <w:rPr>
          <w:b/>
          <w:sz w:val="22"/>
          <w:szCs w:val="22"/>
        </w:rPr>
      </w:pP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231"/>
        <w:gridCol w:w="375"/>
        <w:gridCol w:w="375"/>
        <w:gridCol w:w="326"/>
        <w:gridCol w:w="375"/>
        <w:gridCol w:w="375"/>
      </w:tblGrid>
      <w:tr w:rsidR="007937B8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1" w:type="dxa"/>
            <w:vMerge w:val="restart"/>
            <w:tcBorders>
              <w:top w:val="single" w:sz="12" w:space="0" w:color="000000"/>
            </w:tcBorders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Yeterlilikleri / Çıktıları</w:t>
            </w:r>
          </w:p>
        </w:tc>
        <w:tc>
          <w:tcPr>
            <w:tcW w:w="1826" w:type="dxa"/>
            <w:gridSpan w:val="5"/>
            <w:tcBorders>
              <w:top w:val="single" w:sz="12" w:space="0" w:color="000000"/>
            </w:tcBorders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7937B8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7937B8" w:rsidRDefault="00793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231" w:type="dxa"/>
            <w:vMerge/>
            <w:tcBorders>
              <w:top w:val="single" w:sz="12" w:space="0" w:color="000000"/>
            </w:tcBorders>
          </w:tcPr>
          <w:p w:rsidR="007937B8" w:rsidRDefault="00793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937B8">
        <w:trPr>
          <w:trHeight w:val="395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937B8">
        <w:trPr>
          <w:trHeight w:val="250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937B8">
        <w:trPr>
          <w:trHeight w:val="250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937B8">
        <w:trPr>
          <w:trHeight w:val="534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937B8">
        <w:trPr>
          <w:trHeight w:val="233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937B8">
        <w:trPr>
          <w:trHeight w:val="608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31" w:type="dxa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</w:tr>
      <w:tr w:rsidR="007937B8">
        <w:trPr>
          <w:trHeight w:val="590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</w:tr>
      <w:tr w:rsidR="007937B8">
        <w:trPr>
          <w:trHeight w:val="233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</w:tr>
      <w:tr w:rsidR="007937B8">
        <w:trPr>
          <w:trHeight w:val="438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937B8">
        <w:trPr>
          <w:trHeight w:val="250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31" w:type="dxa"/>
          </w:tcPr>
          <w:p w:rsidR="007937B8" w:rsidRDefault="0064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</w:tr>
      <w:tr w:rsidR="007937B8">
        <w:trPr>
          <w:trHeight w:val="250"/>
        </w:trPr>
        <w:tc>
          <w:tcPr>
            <w:tcW w:w="456" w:type="dxa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231" w:type="dxa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Tıp alanında </w:t>
            </w:r>
            <w:proofErr w:type="gramStart"/>
            <w:r>
              <w:rPr>
                <w:sz w:val="22"/>
                <w:szCs w:val="22"/>
              </w:rPr>
              <w:t>literatürü</w:t>
            </w:r>
            <w:proofErr w:type="gramEnd"/>
            <w:r>
              <w:rPr>
                <w:sz w:val="22"/>
                <w:szCs w:val="22"/>
              </w:rPr>
              <w:t xml:space="preserve"> izleyecek kadar yabancı dil bilir, bilimsel çalışmaları değerlendirecek kadar istatistik ve bilgisayar yöntemlerini kullanabilir</w:t>
            </w:r>
          </w:p>
        </w:tc>
        <w:tc>
          <w:tcPr>
            <w:tcW w:w="375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7937B8" w:rsidRDefault="007937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</w:tcPr>
          <w:p w:rsidR="007937B8" w:rsidRDefault="007937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7937B8" w:rsidRDefault="007937B8">
      <w:pPr>
        <w:rPr>
          <w:b/>
          <w:sz w:val="22"/>
          <w:szCs w:val="22"/>
        </w:rPr>
      </w:pPr>
    </w:p>
    <w:p w:rsidR="007937B8" w:rsidRDefault="00646F2C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7937B8">
      <w:pPr>
        <w:rPr>
          <w:b/>
          <w:sz w:val="22"/>
          <w:szCs w:val="22"/>
        </w:rPr>
      </w:pPr>
    </w:p>
    <w:p w:rsidR="007937B8" w:rsidRDefault="00646F2C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</w:tr>
      <w:tr w:rsidR="00F931EF">
        <w:tc>
          <w:tcPr>
            <w:tcW w:w="5353" w:type="dxa"/>
            <w:vAlign w:val="center"/>
          </w:tcPr>
          <w:p w:rsidR="00F931EF" w:rsidRDefault="00F931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  <w:r>
              <w:rPr>
                <w:sz w:val="22"/>
                <w:szCs w:val="22"/>
              </w:rPr>
              <w:t xml:space="preserve"> (Sınav haftası </w:t>
            </w:r>
            <w:proofErr w:type="gramStart"/>
            <w:r>
              <w:rPr>
                <w:sz w:val="22"/>
                <w:szCs w:val="22"/>
              </w:rPr>
              <w:t>dahildir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F931EF" w:rsidRPr="009B1910" w:rsidRDefault="00F931EF" w:rsidP="00BE37AF">
            <w:pPr>
              <w:jc w:val="center"/>
              <w:rPr>
                <w:b/>
                <w:sz w:val="22"/>
                <w:szCs w:val="22"/>
              </w:rPr>
            </w:pPr>
            <w:r w:rsidRPr="009B1910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:rsidR="00F931EF" w:rsidRPr="009B1910" w:rsidRDefault="00F931EF">
            <w:pPr>
              <w:jc w:val="center"/>
              <w:rPr>
                <w:b/>
                <w:sz w:val="22"/>
                <w:szCs w:val="22"/>
              </w:rPr>
            </w:pPr>
            <w:r w:rsidRPr="009B19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931EF" w:rsidRPr="009B1910" w:rsidRDefault="00F931EF" w:rsidP="00BE37AF">
            <w:pPr>
              <w:jc w:val="center"/>
              <w:rPr>
                <w:b/>
                <w:sz w:val="22"/>
                <w:szCs w:val="22"/>
              </w:rPr>
            </w:pPr>
            <w:r w:rsidRPr="009B1910">
              <w:rPr>
                <w:b/>
                <w:sz w:val="22"/>
                <w:szCs w:val="22"/>
              </w:rPr>
              <w:t>23</w:t>
            </w:r>
          </w:p>
        </w:tc>
      </w:tr>
      <w:tr w:rsidR="00F931EF">
        <w:tc>
          <w:tcPr>
            <w:tcW w:w="5353" w:type="dxa"/>
            <w:vAlign w:val="center"/>
          </w:tcPr>
          <w:p w:rsidR="00F931EF" w:rsidRDefault="00F931E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F931EF" w:rsidRPr="009B1910" w:rsidRDefault="00F931EF" w:rsidP="00BE37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31EF" w:rsidRPr="009B1910" w:rsidRDefault="00F931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31EF" w:rsidRPr="009B1910" w:rsidRDefault="00F931EF" w:rsidP="00BE37A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31EF">
        <w:tc>
          <w:tcPr>
            <w:tcW w:w="5353" w:type="dxa"/>
            <w:vAlign w:val="center"/>
          </w:tcPr>
          <w:p w:rsidR="00F931EF" w:rsidRDefault="00F931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F931EF" w:rsidRPr="009B1910" w:rsidRDefault="00F931EF" w:rsidP="00BE37AF">
            <w:pPr>
              <w:jc w:val="center"/>
              <w:rPr>
                <w:b/>
                <w:sz w:val="22"/>
                <w:szCs w:val="22"/>
              </w:rPr>
            </w:pPr>
            <w:r w:rsidRPr="009B191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F931EF" w:rsidRPr="009B1910" w:rsidRDefault="00F931EF">
            <w:pPr>
              <w:jc w:val="center"/>
              <w:rPr>
                <w:b/>
                <w:sz w:val="22"/>
                <w:szCs w:val="22"/>
              </w:rPr>
            </w:pPr>
            <w:r w:rsidRPr="009B19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931EF" w:rsidRPr="009B1910" w:rsidRDefault="00F931EF" w:rsidP="00BE37AF">
            <w:pPr>
              <w:jc w:val="center"/>
              <w:rPr>
                <w:b/>
                <w:sz w:val="22"/>
                <w:szCs w:val="22"/>
              </w:rPr>
            </w:pPr>
            <w:r w:rsidRPr="009B1910">
              <w:rPr>
                <w:b/>
                <w:sz w:val="22"/>
                <w:szCs w:val="22"/>
              </w:rPr>
              <w:t>19</w:t>
            </w:r>
          </w:p>
        </w:tc>
      </w:tr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7937B8" w:rsidRDefault="007937B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Proje</w:t>
            </w: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sz w:val="22"/>
                <w:szCs w:val="22"/>
              </w:rPr>
            </w:pPr>
          </w:p>
        </w:tc>
      </w:tr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37B8">
        <w:tc>
          <w:tcPr>
            <w:tcW w:w="5353" w:type="dxa"/>
            <w:vAlign w:val="center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937B8">
        <w:tc>
          <w:tcPr>
            <w:tcW w:w="5353" w:type="dxa"/>
          </w:tcPr>
          <w:p w:rsidR="007937B8" w:rsidRDefault="00646F2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</w:tr>
    </w:tbl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7937B8">
      <w:pPr>
        <w:rPr>
          <w:sz w:val="22"/>
          <w:szCs w:val="22"/>
        </w:rPr>
      </w:pPr>
    </w:p>
    <w:p w:rsidR="007937B8" w:rsidRDefault="00646F2C">
      <w:pPr>
        <w:rPr>
          <w:b/>
          <w:sz w:val="22"/>
          <w:szCs w:val="22"/>
        </w:rPr>
      </w:pPr>
      <w:r>
        <w:rPr>
          <w:b/>
          <w:sz w:val="22"/>
          <w:szCs w:val="22"/>
        </w:rPr>
        <w:t>DEĞERLENDİRME SİSTEMİ</w:t>
      </w:r>
    </w:p>
    <w:tbl>
      <w:tblPr>
        <w:tblStyle w:val="a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7937B8">
        <w:tc>
          <w:tcPr>
            <w:tcW w:w="6683" w:type="dxa"/>
            <w:vAlign w:val="center"/>
          </w:tcPr>
          <w:p w:rsidR="007937B8" w:rsidRDefault="007937B8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7937B8">
        <w:tc>
          <w:tcPr>
            <w:tcW w:w="6683" w:type="dxa"/>
            <w:vAlign w:val="center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Karne</w:t>
            </w:r>
          </w:p>
        </w:tc>
        <w:tc>
          <w:tcPr>
            <w:tcW w:w="1138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%10</w:t>
            </w:r>
          </w:p>
        </w:tc>
      </w:tr>
      <w:tr w:rsidR="007937B8">
        <w:tc>
          <w:tcPr>
            <w:tcW w:w="6683" w:type="dxa"/>
            <w:vAlign w:val="center"/>
          </w:tcPr>
          <w:p w:rsidR="007937B8" w:rsidRDefault="00646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Kurul Sınavı </w:t>
            </w:r>
          </w:p>
        </w:tc>
        <w:tc>
          <w:tcPr>
            <w:tcW w:w="1138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7937B8" w:rsidRDefault="00646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90</w:t>
            </w:r>
          </w:p>
        </w:tc>
      </w:tr>
      <w:tr w:rsidR="007937B8">
        <w:trPr>
          <w:trHeight w:val="77"/>
        </w:trPr>
        <w:tc>
          <w:tcPr>
            <w:tcW w:w="6683" w:type="dxa"/>
          </w:tcPr>
          <w:p w:rsidR="007937B8" w:rsidRDefault="00646F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vAlign w:val="center"/>
          </w:tcPr>
          <w:p w:rsidR="007937B8" w:rsidRDefault="007937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7937B8" w:rsidRDefault="00646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7937B8" w:rsidRDefault="007937B8">
      <w:pPr>
        <w:rPr>
          <w:sz w:val="22"/>
          <w:szCs w:val="22"/>
        </w:rPr>
      </w:pPr>
    </w:p>
    <w:sectPr w:rsidR="007937B8">
      <w:headerReference w:type="default" r:id="rId10"/>
      <w:footerReference w:type="default" r:id="rId11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0C" w:rsidRDefault="00870F0C">
      <w:r>
        <w:separator/>
      </w:r>
    </w:p>
  </w:endnote>
  <w:endnote w:type="continuationSeparator" w:id="0">
    <w:p w:rsidR="00870F0C" w:rsidRDefault="0087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B8" w:rsidRDefault="00646F2C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C405FC">
      <w:rPr>
        <w:noProof/>
        <w:color w:val="17365D"/>
      </w:rPr>
      <w:t>1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C405FC">
      <w:rPr>
        <w:noProof/>
        <w:color w:val="17365D"/>
      </w:rPr>
      <w:t>4</w:t>
    </w:r>
    <w:r>
      <w:rPr>
        <w:color w:val="17365D"/>
      </w:rPr>
      <w:fldChar w:fldCharType="end"/>
    </w:r>
  </w:p>
  <w:p w:rsidR="007937B8" w:rsidRDefault="007937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0C" w:rsidRDefault="00870F0C">
      <w:r>
        <w:separator/>
      </w:r>
    </w:p>
  </w:footnote>
  <w:footnote w:type="continuationSeparator" w:id="0">
    <w:p w:rsidR="00870F0C" w:rsidRDefault="0087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FC" w:rsidRDefault="00C405FC">
    <w:pPr>
      <w:pStyle w:val="stbilgi"/>
    </w:pPr>
    <w:r>
      <w:rPr>
        <w:noProof/>
        <w:lang w:eastAsia="tr-TR"/>
      </w:rPr>
      <w:t xml:space="preserve">                                            </w:t>
    </w:r>
    <w:r>
      <w:rPr>
        <w:noProof/>
        <w:lang w:eastAsia="tr-TR"/>
      </w:rPr>
      <w:drawing>
        <wp:inline distT="0" distB="0" distL="0" distR="0" wp14:anchorId="30556718" wp14:editId="5760E041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7937B8" w:rsidRDefault="007937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8ED"/>
    <w:multiLevelType w:val="multilevel"/>
    <w:tmpl w:val="3934C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37B8"/>
    <w:rsid w:val="00646F2C"/>
    <w:rsid w:val="007937B8"/>
    <w:rsid w:val="007E708D"/>
    <w:rsid w:val="00870F0C"/>
    <w:rsid w:val="00945D71"/>
    <w:rsid w:val="00964FEA"/>
    <w:rsid w:val="009B1910"/>
    <w:rsid w:val="00A770E2"/>
    <w:rsid w:val="00C405FC"/>
    <w:rsid w:val="00F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uiPriority w:val="22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a-size-large">
    <w:name w:val="a-size-large"/>
    <w:basedOn w:val="VarsaylanParagrafYazTipi"/>
    <w:rsid w:val="0078594F"/>
  </w:style>
  <w:style w:type="character" w:customStyle="1" w:styleId="ng-binding">
    <w:name w:val="ng-binding"/>
    <w:basedOn w:val="VarsaylanParagrafYazTipi"/>
    <w:rsid w:val="0078594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62D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04E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4E4E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uiPriority w:val="22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character" w:customStyle="1" w:styleId="a-size-large">
    <w:name w:val="a-size-large"/>
    <w:basedOn w:val="VarsaylanParagrafYazTipi"/>
    <w:rsid w:val="0078594F"/>
  </w:style>
  <w:style w:type="character" w:customStyle="1" w:styleId="ng-binding">
    <w:name w:val="ng-binding"/>
    <w:basedOn w:val="VarsaylanParagrafYazTipi"/>
    <w:rsid w:val="0078594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62D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04E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4E4E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ner.baran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c+BVpPWP99z2OZraHn2E2cxeQ==">CgMxLjAyCGguZ2pkZ3hzOAByITE2UkZWcHYwVUppV2FOQlJlN19hczZFSGlCRTdNT1dzSw==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7</cp:revision>
  <dcterms:created xsi:type="dcterms:W3CDTF">2020-02-11T04:41:00Z</dcterms:created>
  <dcterms:modified xsi:type="dcterms:W3CDTF">2025-01-03T11:11:00Z</dcterms:modified>
</cp:coreProperties>
</file>